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標楷體" w:eastAsia="標楷體" w:hAnsi="標楷體"/>
          <w:sz w:val="40"/>
          <w:szCs w:val="40"/>
        </w:rPr>
      </w:pPr>
      <w:r>
        <w:rPr>
          <w:rFonts w:ascii="標楷體" w:eastAsia="標楷體" w:hAnsi="標楷體" w:hint="eastAsia"/>
          <w:sz w:val="40"/>
          <w:szCs w:val="40"/>
        </w:rPr>
        <w:t>南投縣信義鄉潭南國民小學奉准報廢財產標售</w:t>
      </w:r>
    </w:p>
    <w:p>
      <w:pPr>
        <w:jc w:val="center"/>
        <w:rPr>
          <w:rFonts w:ascii="標楷體" w:eastAsia="標楷體" w:hAnsi="標楷體"/>
          <w:sz w:val="40"/>
          <w:szCs w:val="40"/>
          <w:u w:val="double"/>
        </w:rPr>
      </w:pPr>
      <w:r>
        <w:rPr>
          <w:rFonts w:ascii="標楷體" w:eastAsia="標楷體" w:hAnsi="標楷體" w:hint="eastAsia"/>
          <w:sz w:val="40"/>
          <w:szCs w:val="40"/>
          <w:u w:val="double"/>
        </w:rPr>
        <w:t>投標須知</w:t>
      </w:r>
    </w:p>
    <w:p>
      <w:pPr>
        <w:spacing w:line="480" w:lineRule="exact"/>
        <w:ind w:left="480" w:hangingChars="200" w:hanging="480"/>
        <w:rPr>
          <w:rFonts w:ascii="標楷體" w:eastAsia="標楷體" w:hAnsi="標楷體"/>
        </w:rPr>
      </w:pPr>
      <w:r>
        <w:rPr>
          <w:rFonts w:ascii="標楷體" w:eastAsia="標楷體" w:hAnsi="標楷體" w:hint="eastAsia"/>
        </w:rPr>
        <w:t>一、本批標售之標的物、數量、標售底價及保證金金額詳如附表。</w:t>
      </w:r>
    </w:p>
    <w:p>
      <w:pPr>
        <w:spacing w:line="480" w:lineRule="exact"/>
        <w:ind w:left="480" w:hangingChars="200" w:hanging="480"/>
        <w:rPr>
          <w:rFonts w:ascii="標楷體" w:eastAsia="標楷體" w:hAnsi="標楷體"/>
        </w:rPr>
      </w:pPr>
      <w:r>
        <w:rPr>
          <w:rFonts w:ascii="標楷體" w:eastAsia="標楷體" w:hAnsi="標楷體" w:hint="eastAsia"/>
        </w:rPr>
        <w:t>二、本件標售於107年1月2日(星期二)於</w:t>
      </w:r>
      <w:bookmarkStart w:id="0" w:name="_GoBack"/>
      <w:bookmarkEnd w:id="0"/>
      <w:r>
        <w:rPr>
          <w:rFonts w:ascii="標楷體" w:eastAsia="標楷體" w:hAnsi="標楷體" w:hint="eastAsia"/>
        </w:rPr>
        <w:t>本校網站公告欄公告，並刊登南投縣教育網路中心(</w:t>
      </w:r>
      <w:r>
        <w:rPr>
          <w:rFonts w:ascii="標楷體" w:eastAsia="標楷體" w:hAnsi="標楷體"/>
        </w:rPr>
        <w:t>http://www.ntct.edu.tw/bin/home.php</w:t>
      </w:r>
      <w:r>
        <w:rPr>
          <w:rFonts w:ascii="標楷體" w:eastAsia="標楷體" w:hAnsi="標楷體" w:hint="eastAsia"/>
        </w:rPr>
        <w:t>)，訂於107年1月10日上午10時30分在本校會議室當眾開標。當天如遇颱風或其他突發事故停止上班，則順延至恢復上班之第二個工作天上午10時30分在本校會議室開標，當天如無人投標，本校將於當日10時40分改以現場喊價方式辦理。</w:t>
      </w:r>
    </w:p>
    <w:p>
      <w:pPr>
        <w:spacing w:line="480" w:lineRule="exact"/>
        <w:ind w:left="480" w:hangingChars="200" w:hanging="480"/>
        <w:rPr>
          <w:rFonts w:ascii="標楷體" w:eastAsia="標楷體" w:hAnsi="標楷體"/>
        </w:rPr>
      </w:pPr>
      <w:r>
        <w:rPr>
          <w:rFonts w:ascii="標楷體" w:eastAsia="標楷體" w:hAnsi="標楷體" w:hint="eastAsia"/>
        </w:rPr>
        <w:t>三、本批標售標的物投標人得於開標前洽本校安排參觀。</w:t>
      </w:r>
    </w:p>
    <w:p>
      <w:pPr>
        <w:spacing w:line="480" w:lineRule="exact"/>
        <w:ind w:left="480" w:hangingChars="200" w:hanging="480"/>
        <w:rPr>
          <w:rFonts w:ascii="標楷體" w:eastAsia="標楷體" w:hAnsi="標楷體"/>
        </w:rPr>
      </w:pPr>
      <w:r>
        <w:rPr>
          <w:rFonts w:ascii="標楷體" w:eastAsia="標楷體" w:hAnsi="標楷體" w:hint="eastAsia"/>
        </w:rPr>
        <w:t>四、投標單之填寫應依據下列規定：</w:t>
      </w:r>
    </w:p>
    <w:p>
      <w:pPr>
        <w:spacing w:line="480" w:lineRule="exact"/>
        <w:ind w:leftChars="300" w:left="1200" w:hangingChars="200" w:hanging="480"/>
        <w:rPr>
          <w:rFonts w:ascii="標楷體" w:eastAsia="標楷體" w:hAnsi="標楷體"/>
        </w:rPr>
      </w:pPr>
      <w:r>
        <w:rPr>
          <w:rFonts w:ascii="標楷體" w:eastAsia="標楷體" w:hAnsi="標楷體" w:hint="eastAsia"/>
        </w:rPr>
        <w:t>(一)以毛筆、自來水筆、原子筆書寫或機器打印。</w:t>
      </w:r>
    </w:p>
    <w:p>
      <w:pPr>
        <w:spacing w:line="480" w:lineRule="exact"/>
        <w:ind w:leftChars="300" w:left="1200" w:hangingChars="200" w:hanging="480"/>
        <w:rPr>
          <w:rFonts w:ascii="標楷體" w:eastAsia="標楷體" w:hAnsi="標楷體"/>
        </w:rPr>
      </w:pPr>
      <w:r>
        <w:rPr>
          <w:rFonts w:ascii="標楷體" w:eastAsia="標楷體" w:hAnsi="標楷體" w:hint="eastAsia"/>
        </w:rPr>
        <w:t>(二)投標金額以中文大寫書寫，並不得低於標售底價。</w:t>
      </w:r>
    </w:p>
    <w:p>
      <w:pPr>
        <w:spacing w:line="480" w:lineRule="exact"/>
        <w:ind w:leftChars="300" w:left="1200" w:hangingChars="200" w:hanging="480"/>
        <w:rPr>
          <w:rFonts w:ascii="標楷體" w:eastAsia="標楷體" w:hAnsi="標楷體"/>
        </w:rPr>
      </w:pPr>
      <w:r>
        <w:rPr>
          <w:rFonts w:ascii="標楷體" w:eastAsia="標楷體" w:hAnsi="標楷體" w:hint="eastAsia"/>
        </w:rPr>
        <w:t>(三)填妥投標人性名、身分證統一編號、住址、電話號碼，法人(公司)應註明法人名稱及登記文件字號並註明投標人外出時代理人姓名及住址。</w:t>
      </w:r>
    </w:p>
    <w:p>
      <w:pPr>
        <w:spacing w:line="480" w:lineRule="exact"/>
        <w:ind w:leftChars="300" w:left="1200" w:hangingChars="200" w:hanging="480"/>
        <w:rPr>
          <w:rFonts w:ascii="標楷體" w:eastAsia="標楷體" w:hAnsi="標楷體"/>
        </w:rPr>
      </w:pPr>
      <w:r>
        <w:rPr>
          <w:rFonts w:ascii="標楷體" w:eastAsia="標楷體" w:hAnsi="標楷體" w:hint="eastAsia"/>
        </w:rPr>
        <w:t>(四)二人以上共同投標時，應指定一人為代表人，未指定者以投標單所填之第一人為代表人，投標人不得異議。</w:t>
      </w:r>
    </w:p>
    <w:p>
      <w:pPr>
        <w:spacing w:line="480" w:lineRule="exact"/>
        <w:ind w:left="480" w:hangingChars="200" w:hanging="480"/>
        <w:rPr>
          <w:rFonts w:ascii="標楷體" w:eastAsia="標楷體" w:hAnsi="標楷體"/>
        </w:rPr>
      </w:pPr>
      <w:r>
        <w:rPr>
          <w:rFonts w:ascii="標楷體" w:eastAsia="標楷體" w:hAnsi="標楷體" w:hint="eastAsia"/>
        </w:rPr>
        <w:t>五、保證金限以經政府依法核准於國內經營金融業務之銀行、信託投資公司、信用合作社、郵局、農會或漁會之劃線支票（指以上列金融機構為發票人及付款人之劃線支票）或保付支票，或郵局之匯票繳納；但採現場喊價者得以現金繳納。採通信投標方式者，該保證金票據連同投標單妥為密封於專用之標封內，用掛號函件於開標前一日寄達。</w:t>
      </w:r>
    </w:p>
    <w:p>
      <w:pPr>
        <w:spacing w:line="480" w:lineRule="exact"/>
        <w:ind w:left="480" w:hangingChars="200" w:hanging="480"/>
        <w:rPr>
          <w:rFonts w:ascii="標楷體" w:eastAsia="標楷體" w:hAnsi="標楷體"/>
        </w:rPr>
      </w:pPr>
      <w:r>
        <w:rPr>
          <w:rFonts w:ascii="標楷體" w:eastAsia="標楷體" w:hAnsi="標楷體" w:hint="eastAsia"/>
        </w:rPr>
        <w:t>六、投標人應將填妥之投標單予以密封，以掛號函件、快遞於當日九時前寄達或親送本校總務處(地址：南投縣信義鄉潭南村和平巷49號)，逾期寄達者不予受理，原件恕不退還。</w:t>
      </w:r>
    </w:p>
    <w:p>
      <w:pPr>
        <w:spacing w:line="480" w:lineRule="exact"/>
        <w:ind w:left="480" w:hangingChars="200" w:hanging="480"/>
        <w:rPr>
          <w:rFonts w:ascii="標楷體" w:eastAsia="標楷體" w:hAnsi="標楷體"/>
        </w:rPr>
      </w:pPr>
      <w:r>
        <w:rPr>
          <w:rFonts w:ascii="標楷體" w:eastAsia="標楷體" w:hAnsi="標楷體" w:hint="eastAsia"/>
        </w:rPr>
        <w:t>六、投標人得親自或出具委託書委由他人出席開標會場，以利決標後辦理後續事宜。</w:t>
      </w:r>
    </w:p>
    <w:p>
      <w:pPr>
        <w:spacing w:line="480" w:lineRule="exact"/>
        <w:ind w:left="480" w:hangingChars="200" w:hanging="480"/>
        <w:rPr>
          <w:rFonts w:ascii="標楷體" w:eastAsia="標楷體" w:hAnsi="標楷體"/>
        </w:rPr>
      </w:pPr>
      <w:r>
        <w:rPr>
          <w:rFonts w:ascii="標楷體" w:eastAsia="標楷體" w:hAnsi="標楷體" w:hint="eastAsia"/>
        </w:rPr>
        <w:t>七、開標決標：</w:t>
      </w:r>
    </w:p>
    <w:p>
      <w:pPr>
        <w:spacing w:line="480" w:lineRule="exact"/>
        <w:ind w:leftChars="300" w:left="1200" w:hangingChars="200" w:hanging="480"/>
        <w:rPr>
          <w:rFonts w:ascii="標楷體" w:eastAsia="標楷體" w:hAnsi="標楷體"/>
        </w:rPr>
      </w:pPr>
      <w:r>
        <w:rPr>
          <w:rFonts w:ascii="標楷體" w:eastAsia="標楷體" w:hAnsi="標楷體" w:hint="eastAsia"/>
        </w:rPr>
        <w:lastRenderedPageBreak/>
        <w:t>(一)由本校主辦單位派員會同監標人員於開標前一小時取出投標函件，於開標時當眾點明拆封審查。</w:t>
      </w:r>
    </w:p>
    <w:p>
      <w:pPr>
        <w:spacing w:line="480" w:lineRule="exact"/>
        <w:ind w:leftChars="300" w:left="1200" w:hangingChars="200" w:hanging="480"/>
        <w:rPr>
          <w:rFonts w:ascii="標楷體" w:eastAsia="標楷體" w:hAnsi="標楷體"/>
        </w:rPr>
      </w:pPr>
      <w:r>
        <w:rPr>
          <w:rFonts w:ascii="標楷體" w:eastAsia="標楷體" w:hAnsi="標楷體" w:hint="eastAsia"/>
        </w:rPr>
        <w:t>(二)有下列情形之一者，投標無效：</w:t>
      </w:r>
    </w:p>
    <w:p>
      <w:pPr>
        <w:spacing w:line="480" w:lineRule="exact"/>
        <w:ind w:leftChars="600" w:left="1680" w:hangingChars="100" w:hanging="240"/>
        <w:rPr>
          <w:rFonts w:ascii="標楷體" w:eastAsia="標楷體" w:hAnsi="標楷體"/>
        </w:rPr>
      </w:pPr>
      <w:r>
        <w:rPr>
          <w:rFonts w:ascii="標楷體" w:eastAsia="標楷體" w:hAnsi="標楷體" w:hint="eastAsia"/>
        </w:rPr>
        <w:t>1.投標單所填投標金額經塗改未認章、或雖經認章而無法辨識、或低於標售底價、或未以中文大寫者。</w:t>
      </w:r>
    </w:p>
    <w:p>
      <w:pPr>
        <w:spacing w:line="480" w:lineRule="exact"/>
        <w:ind w:leftChars="600" w:left="1680" w:hangingChars="100" w:hanging="240"/>
        <w:rPr>
          <w:rFonts w:ascii="標楷體" w:eastAsia="標楷體" w:hAnsi="標楷體"/>
        </w:rPr>
      </w:pPr>
      <w:r>
        <w:rPr>
          <w:rFonts w:ascii="標楷體" w:eastAsia="標楷體" w:hAnsi="標楷體" w:hint="eastAsia"/>
        </w:rPr>
        <w:t>2.投標單所填標的物、投標人姓名，經主持人及監標人共同認定無法辨識者。</w:t>
      </w:r>
    </w:p>
    <w:p>
      <w:pPr>
        <w:spacing w:line="480" w:lineRule="exact"/>
        <w:ind w:leftChars="600" w:left="1680" w:hangingChars="100" w:hanging="240"/>
        <w:rPr>
          <w:rFonts w:ascii="標楷體" w:eastAsia="標楷體" w:hAnsi="標楷體"/>
        </w:rPr>
      </w:pPr>
      <w:r>
        <w:rPr>
          <w:rFonts w:ascii="標楷體" w:eastAsia="標楷體" w:hAnsi="標楷體" w:hint="eastAsia"/>
        </w:rPr>
        <w:t>3.投標單之格式與本校所定之格式不符者。</w:t>
      </w:r>
    </w:p>
    <w:p>
      <w:pPr>
        <w:spacing w:line="480" w:lineRule="exact"/>
        <w:ind w:leftChars="300" w:left="1200" w:hangingChars="200" w:hanging="480"/>
        <w:rPr>
          <w:rFonts w:ascii="標楷體" w:eastAsia="標楷體" w:hAnsi="標楷體"/>
        </w:rPr>
      </w:pPr>
      <w:r>
        <w:rPr>
          <w:rFonts w:ascii="標楷體" w:eastAsia="標楷體" w:hAnsi="標楷體" w:hint="eastAsia"/>
        </w:rPr>
        <w:t>(三)決標：以有效標單之投標金額最高標價者為得標人，次高標價者為次得標人。如最高標價者有二標以上相同時，應當場由主持人抽籤決定得標人及次得標人，次高標價者有二標以上相同時，比照辦理。</w:t>
      </w:r>
    </w:p>
    <w:p>
      <w:pPr>
        <w:spacing w:line="480" w:lineRule="exact"/>
        <w:ind w:leftChars="300" w:left="1200" w:hangingChars="200" w:hanging="480"/>
        <w:rPr>
          <w:rFonts w:ascii="標楷體" w:eastAsia="標楷體" w:hAnsi="標楷體"/>
        </w:rPr>
      </w:pPr>
      <w:r>
        <w:rPr>
          <w:rFonts w:ascii="標楷體" w:eastAsia="標楷體" w:hAnsi="標楷體" w:hint="eastAsia"/>
        </w:rPr>
        <w:t>(四)喊標及決標：</w:t>
      </w:r>
    </w:p>
    <w:p>
      <w:pPr>
        <w:spacing w:line="480" w:lineRule="exact"/>
        <w:ind w:leftChars="600" w:left="1680" w:hangingChars="100" w:hanging="240"/>
        <w:rPr>
          <w:rFonts w:ascii="標楷體" w:eastAsia="標楷體" w:hAnsi="標楷體"/>
        </w:rPr>
      </w:pPr>
      <w:r>
        <w:rPr>
          <w:rFonts w:ascii="標楷體" w:eastAsia="標楷體" w:hAnsi="標楷體" w:hint="eastAsia"/>
        </w:rPr>
        <w:t>1.主持人於開標時間當眾宣佈標售標的物及開始喊價，由取得投標權之投標人當眾舉牌喊價，出價最高者，由主持人覆誦該價格，經覆誦三次，無再出更高價者，則由主持人宣布由其得標；若於第三次覆誦前，有投標人舉牌喊出更高價格者，則重新以最高價再按上述程序覆誦，直到宣布決標為止。</w:t>
      </w:r>
    </w:p>
    <w:p>
      <w:pPr>
        <w:spacing w:line="480" w:lineRule="exact"/>
        <w:ind w:leftChars="600" w:left="1680" w:hangingChars="100" w:hanging="240"/>
        <w:rPr>
          <w:rFonts w:ascii="標楷體" w:eastAsia="標楷體" w:hAnsi="標楷體"/>
        </w:rPr>
      </w:pPr>
      <w:r>
        <w:rPr>
          <w:rFonts w:ascii="標楷體" w:eastAsia="標楷體" w:hAnsi="標楷體" w:hint="eastAsia"/>
        </w:rPr>
        <w:t>2.投標人喊價低於標售底價者，投標無效。</w:t>
      </w:r>
    </w:p>
    <w:p>
      <w:pPr>
        <w:spacing w:line="480" w:lineRule="exact"/>
        <w:ind w:left="480" w:hangingChars="200" w:hanging="480"/>
        <w:rPr>
          <w:rFonts w:ascii="標楷體" w:eastAsia="標楷體" w:hAnsi="標楷體"/>
        </w:rPr>
      </w:pPr>
      <w:r>
        <w:rPr>
          <w:rFonts w:ascii="標楷體" w:eastAsia="標楷體" w:hAnsi="標楷體" w:hint="eastAsia"/>
        </w:rPr>
        <w:t>八、投標人於得標後應於107年1月17日(開標之次日起7日內)前繳交全部價款。如因故延後開標，上述應繳價期限亦隨延後開標日數順延之。</w:t>
      </w:r>
    </w:p>
    <w:p>
      <w:pPr>
        <w:spacing w:line="480" w:lineRule="exact"/>
        <w:ind w:left="480" w:hangingChars="200" w:hanging="480"/>
        <w:rPr>
          <w:rFonts w:ascii="標楷體" w:eastAsia="標楷體" w:hAnsi="標楷體"/>
        </w:rPr>
      </w:pPr>
      <w:r>
        <w:rPr>
          <w:rFonts w:ascii="標楷體" w:eastAsia="標楷體" w:hAnsi="標楷體" w:hint="eastAsia"/>
        </w:rPr>
        <w:t>九、停止標售部份或全部標的物時，由主持人於開標當場宣布，投標人不得異議。</w:t>
      </w:r>
    </w:p>
    <w:p>
      <w:pPr>
        <w:spacing w:line="480" w:lineRule="exact"/>
        <w:ind w:left="480" w:hangingChars="200" w:hanging="480"/>
        <w:rPr>
          <w:rFonts w:ascii="標楷體" w:eastAsia="標楷體" w:hAnsi="標楷體"/>
          <w:sz w:val="32"/>
          <w:szCs w:val="32"/>
        </w:rPr>
      </w:pPr>
      <w:r>
        <w:rPr>
          <w:rFonts w:ascii="標楷體" w:eastAsia="標楷體" w:hAnsi="標楷體" w:hint="eastAsia"/>
        </w:rPr>
        <w:t>十、本投標須知未列事項，悉依相關法令規定辦理。</w:t>
      </w:r>
    </w:p>
    <w:p>
      <w:pPr>
        <w:spacing w:line="480" w:lineRule="exact"/>
        <w:rPr>
          <w:rFonts w:ascii="標楷體" w:eastAsia="標楷體" w:hAnsi="標楷體"/>
          <w:sz w:val="32"/>
          <w:szCs w:val="32"/>
        </w:rPr>
        <w:sectPr>
          <w:pgSz w:w="11906" w:h="16838"/>
          <w:pgMar w:top="1440" w:right="1800" w:bottom="1440" w:left="1800" w:header="851" w:footer="992" w:gutter="0"/>
          <w:cols w:space="425"/>
          <w:docGrid w:type="lines" w:linePitch="360"/>
        </w:sectPr>
      </w:pPr>
    </w:p>
    <w:p>
      <w:pPr>
        <w:spacing w:line="480" w:lineRule="exact"/>
        <w:rPr>
          <w:rFonts w:ascii="標楷體" w:eastAsia="標楷體" w:hAnsi="標楷體"/>
          <w:sz w:val="32"/>
          <w:szCs w:val="32"/>
        </w:rPr>
      </w:pPr>
      <w:r>
        <w:rPr>
          <w:rFonts w:ascii="標楷體" w:eastAsia="標楷體" w:hAnsi="標楷體" w:hint="eastAsia"/>
          <w:sz w:val="32"/>
          <w:szCs w:val="32"/>
        </w:rPr>
        <w:lastRenderedPageBreak/>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860"/>
      </w:tblGrid>
      <w:tr>
        <w:trPr>
          <w:trHeight w:val="537"/>
        </w:trPr>
        <w:tc>
          <w:tcPr>
            <w:tcW w:w="8528" w:type="dxa"/>
            <w:gridSpan w:val="2"/>
            <w:vAlign w:val="center"/>
          </w:tcPr>
          <w:p>
            <w:pPr>
              <w:jc w:val="center"/>
              <w:rPr>
                <w:rFonts w:ascii="標楷體" w:eastAsia="標楷體" w:hAnsi="標楷體"/>
                <w:sz w:val="28"/>
                <w:szCs w:val="28"/>
              </w:rPr>
            </w:pPr>
            <w:r>
              <w:rPr>
                <w:rFonts w:ascii="標楷體" w:eastAsia="標楷體" w:hAnsi="標楷體" w:hint="eastAsia"/>
                <w:sz w:val="28"/>
                <w:szCs w:val="28"/>
              </w:rPr>
              <w:t>本批標售之標的物品名、數量、標售底價及保證金金額</w:t>
            </w:r>
          </w:p>
        </w:tc>
      </w:tr>
      <w:tr>
        <w:trPr>
          <w:trHeight w:val="514"/>
        </w:trPr>
        <w:tc>
          <w:tcPr>
            <w:tcW w:w="1668" w:type="dxa"/>
            <w:vAlign w:val="center"/>
          </w:tcPr>
          <w:p>
            <w:pPr>
              <w:jc w:val="center"/>
              <w:rPr>
                <w:rFonts w:ascii="標楷體" w:eastAsia="標楷體" w:hAnsi="標楷體"/>
                <w:sz w:val="28"/>
                <w:szCs w:val="28"/>
              </w:rPr>
            </w:pPr>
            <w:r>
              <w:rPr>
                <w:rFonts w:ascii="標楷體" w:eastAsia="標楷體" w:hAnsi="標楷體" w:hint="eastAsia"/>
                <w:sz w:val="28"/>
                <w:szCs w:val="28"/>
              </w:rPr>
              <w:t>標  號</w:t>
            </w:r>
          </w:p>
        </w:tc>
        <w:tc>
          <w:tcPr>
            <w:tcW w:w="6860" w:type="dxa"/>
            <w:vAlign w:val="center"/>
          </w:tcPr>
          <w:p>
            <w:pPr>
              <w:jc w:val="both"/>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7</w:t>
            </w:r>
            <w:r>
              <w:rPr>
                <w:rFonts w:ascii="標楷體" w:eastAsia="標楷體" w:hAnsi="標楷體"/>
                <w:sz w:val="28"/>
                <w:szCs w:val="28"/>
              </w:rPr>
              <w:t>-</w:t>
            </w:r>
            <w:r>
              <w:rPr>
                <w:rFonts w:ascii="標楷體" w:eastAsia="標楷體" w:hAnsi="標楷體" w:hint="eastAsia"/>
                <w:sz w:val="28"/>
                <w:szCs w:val="28"/>
              </w:rPr>
              <w:t>03</w:t>
            </w:r>
            <w:r>
              <w:rPr>
                <w:rFonts w:ascii="標楷體" w:eastAsia="標楷體" w:hAnsi="標楷體"/>
                <w:sz w:val="28"/>
                <w:szCs w:val="28"/>
              </w:rPr>
              <w:t>-</w:t>
            </w:r>
            <w:r>
              <w:rPr>
                <w:rFonts w:ascii="標楷體" w:eastAsia="標楷體" w:hAnsi="標楷體" w:hint="eastAsia"/>
                <w:sz w:val="28"/>
                <w:szCs w:val="28"/>
              </w:rPr>
              <w:t>169</w:t>
            </w:r>
            <w:r>
              <w:rPr>
                <w:rFonts w:ascii="標楷體" w:eastAsia="標楷體" w:hAnsi="標楷體"/>
                <w:sz w:val="28"/>
                <w:szCs w:val="28"/>
              </w:rPr>
              <w:t>-0</w:t>
            </w:r>
            <w:r>
              <w:rPr>
                <w:rFonts w:ascii="標楷體" w:eastAsia="標楷體" w:hAnsi="標楷體" w:hint="eastAsia"/>
                <w:sz w:val="28"/>
                <w:szCs w:val="28"/>
              </w:rPr>
              <w:t>01</w:t>
            </w:r>
            <w:r>
              <w:rPr>
                <w:rFonts w:ascii="標楷體" w:eastAsia="標楷體" w:hAnsi="標楷體"/>
                <w:sz w:val="28"/>
                <w:szCs w:val="28"/>
              </w:rPr>
              <w:t>-F</w:t>
            </w:r>
          </w:p>
        </w:tc>
      </w:tr>
      <w:tr>
        <w:trPr>
          <w:trHeight w:val="699"/>
        </w:trPr>
        <w:tc>
          <w:tcPr>
            <w:tcW w:w="1668" w:type="dxa"/>
            <w:vAlign w:val="center"/>
          </w:tcPr>
          <w:p>
            <w:pPr>
              <w:jc w:val="both"/>
              <w:rPr>
                <w:rFonts w:ascii="標楷體" w:eastAsia="標楷體" w:hAnsi="標楷體"/>
                <w:sz w:val="28"/>
                <w:szCs w:val="28"/>
              </w:rPr>
            </w:pPr>
            <w:r>
              <w:rPr>
                <w:rFonts w:ascii="標楷體" w:eastAsia="標楷體" w:hAnsi="標楷體" w:hint="eastAsia"/>
                <w:sz w:val="28"/>
                <w:szCs w:val="28"/>
              </w:rPr>
              <w:t>品名、數量(含單位)</w:t>
            </w:r>
          </w:p>
        </w:tc>
        <w:tc>
          <w:tcPr>
            <w:tcW w:w="6860" w:type="dxa"/>
          </w:tcPr>
          <w:tbl>
            <w:tblPr>
              <w:tblW w:w="7632" w:type="dxa"/>
              <w:tblInd w:w="28" w:type="dxa"/>
              <w:tblLayout w:type="fixed"/>
              <w:tblCellMar>
                <w:left w:w="28" w:type="dxa"/>
                <w:right w:w="28" w:type="dxa"/>
              </w:tblCellMar>
              <w:tblLook w:val="04A0" w:firstRow="1" w:lastRow="0" w:firstColumn="1" w:lastColumn="0" w:noHBand="0" w:noVBand="1"/>
            </w:tblPr>
            <w:tblGrid>
              <w:gridCol w:w="434"/>
              <w:gridCol w:w="1444"/>
              <w:gridCol w:w="2517"/>
              <w:gridCol w:w="425"/>
              <w:gridCol w:w="425"/>
              <w:gridCol w:w="2387"/>
            </w:tblGrid>
            <w:tr>
              <w:trPr>
                <w:trHeight w:val="340"/>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center"/>
                    <w:rPr>
                      <w:rFonts w:ascii="標楷體" w:eastAsia="標楷體" w:hAnsi="標楷體" w:cs="新細明體"/>
                      <w:kern w:val="0"/>
                    </w:rPr>
                  </w:pPr>
                  <w:r>
                    <w:rPr>
                      <w:rFonts w:ascii="標楷體" w:eastAsia="標楷體" w:hAnsi="標楷體" w:cs="新細明體" w:hint="eastAsia"/>
                      <w:kern w:val="0"/>
                    </w:rPr>
                    <w:t>編號</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標楷體" w:eastAsia="標楷體" w:hAnsi="標楷體" w:cs="新細明體"/>
                      <w:kern w:val="0"/>
                    </w:rPr>
                  </w:pPr>
                  <w:r>
                    <w:rPr>
                      <w:rFonts w:ascii="標楷體" w:eastAsia="標楷體" w:hAnsi="標楷體" w:cs="新細明體" w:hint="eastAsia"/>
                      <w:kern w:val="0"/>
                    </w:rPr>
                    <w:t>名稱</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標楷體" w:eastAsia="標楷體" w:hAnsi="標楷體" w:cs="新細明體"/>
                      <w:kern w:val="0"/>
                    </w:rPr>
                  </w:pPr>
                  <w:r>
                    <w:rPr>
                      <w:rFonts w:ascii="標楷體" w:eastAsia="標楷體" w:hAnsi="標楷體" w:cs="新細明體" w:hint="eastAsia"/>
                      <w:kern w:val="0"/>
                    </w:rPr>
                    <w:t>特徵及說明</w:t>
                  </w:r>
                </w:p>
              </w:tc>
              <w:tc>
                <w:tcPr>
                  <w:tcW w:w="425"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標楷體" w:eastAsia="標楷體" w:hAnsi="標楷體" w:cs="新細明體"/>
                      <w:kern w:val="0"/>
                    </w:rPr>
                  </w:pPr>
                  <w:r>
                    <w:rPr>
                      <w:rFonts w:ascii="標楷體" w:eastAsia="標楷體" w:hAnsi="標楷體" w:cs="新細明體" w:hint="eastAsia"/>
                      <w:kern w:val="0"/>
                    </w:rPr>
                    <w:t>單位</w:t>
                  </w:r>
                </w:p>
              </w:tc>
              <w:tc>
                <w:tcPr>
                  <w:tcW w:w="425"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標楷體" w:eastAsia="標楷體" w:hAnsi="標楷體" w:cs="新細明體"/>
                      <w:kern w:val="0"/>
                    </w:rPr>
                  </w:pPr>
                  <w:r>
                    <w:rPr>
                      <w:rFonts w:ascii="標楷體" w:eastAsia="標楷體" w:hAnsi="標楷體" w:cs="新細明體" w:hint="eastAsia"/>
                      <w:kern w:val="0"/>
                    </w:rPr>
                    <w:t>數量</w:t>
                  </w:r>
                </w:p>
              </w:tc>
              <w:tc>
                <w:tcPr>
                  <w:tcW w:w="2387" w:type="dxa"/>
                  <w:tcBorders>
                    <w:top w:val="single" w:sz="4" w:space="0" w:color="auto"/>
                    <w:left w:val="nil"/>
                    <w:bottom w:val="single" w:sz="4" w:space="0" w:color="auto"/>
                    <w:right w:val="single" w:sz="4" w:space="0" w:color="auto"/>
                  </w:tcBorders>
                  <w:shd w:val="clear" w:color="auto" w:fill="auto"/>
                  <w:noWrap/>
                  <w:vAlign w:val="center"/>
                  <w:hideMark/>
                </w:tcPr>
                <w:p>
                  <w:pPr>
                    <w:widowControl/>
                    <w:rPr>
                      <w:rFonts w:ascii="標楷體" w:eastAsia="標楷體" w:hAnsi="標楷體" w:cs="新細明體"/>
                      <w:kern w:val="0"/>
                    </w:rPr>
                  </w:pPr>
                  <w:r>
                    <w:rPr>
                      <w:rFonts w:ascii="標楷體" w:eastAsia="標楷體" w:hAnsi="標楷體" w:cs="新細明體" w:hint="eastAsia"/>
                      <w:kern w:val="0"/>
                    </w:rPr>
                    <w:t>購置日期</w:t>
                  </w:r>
                </w:p>
              </w:tc>
            </w:tr>
            <w:tr>
              <w:trPr>
                <w:trHeight w:val="20"/>
              </w:trPr>
              <w:tc>
                <w:tcPr>
                  <w:tcW w:w="434" w:type="dxa"/>
                  <w:tcBorders>
                    <w:top w:val="nil"/>
                    <w:left w:val="single" w:sz="4" w:space="0" w:color="auto"/>
                    <w:bottom w:val="single" w:sz="4" w:space="0" w:color="auto"/>
                    <w:right w:val="single" w:sz="4" w:space="0" w:color="auto"/>
                  </w:tcBorders>
                  <w:shd w:val="clear" w:color="auto" w:fill="auto"/>
                  <w:vAlign w:val="bottom"/>
                  <w:hideMark/>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pPr>
                    <w:spacing w:line="320" w:lineRule="exact"/>
                    <w:jc w:val="both"/>
                    <w:rPr>
                      <w:rFonts w:ascii="標楷體" w:eastAsia="標楷體" w:hAnsi="標楷體"/>
                      <w:kern w:val="0"/>
                    </w:rPr>
                  </w:pPr>
                  <w:r>
                    <w:rPr>
                      <w:rFonts w:ascii="標楷體" w:eastAsia="標楷體" w:hAnsi="標楷體" w:hint="eastAsia"/>
                    </w:rPr>
                    <w:t>個人電腦</w:t>
                  </w:r>
                </w:p>
              </w:tc>
              <w:tc>
                <w:tcPr>
                  <w:tcW w:w="2517"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華碩AS-D765</w:t>
                  </w:r>
                </w:p>
              </w:tc>
              <w:tc>
                <w:tcPr>
                  <w:tcW w:w="425" w:type="dxa"/>
                  <w:tcBorders>
                    <w:top w:val="nil"/>
                    <w:left w:val="nil"/>
                    <w:bottom w:val="single" w:sz="4" w:space="0" w:color="auto"/>
                    <w:right w:val="single" w:sz="4" w:space="0" w:color="auto"/>
                  </w:tcBorders>
                  <w:shd w:val="clear" w:color="auto" w:fill="auto"/>
                  <w:vAlign w:val="center"/>
                  <w:hideMark/>
                </w:tcPr>
                <w:p>
                  <w:pPr>
                    <w:jc w:val="center"/>
                    <w:rPr>
                      <w:rFonts w:ascii="標楷體" w:eastAsia="標楷體" w:hAnsi="標楷體"/>
                    </w:rPr>
                  </w:pPr>
                  <w:r>
                    <w:rPr>
                      <w:rFonts w:ascii="標楷體" w:eastAsia="標楷體" w:hAnsi="標楷體" w:hint="eastAsia"/>
                    </w:rPr>
                    <w:t>台</w:t>
                  </w:r>
                </w:p>
              </w:tc>
              <w:tc>
                <w:tcPr>
                  <w:tcW w:w="425" w:type="dxa"/>
                  <w:tcBorders>
                    <w:top w:val="nil"/>
                    <w:left w:val="nil"/>
                    <w:bottom w:val="single" w:sz="4" w:space="0" w:color="auto"/>
                    <w:right w:val="single" w:sz="4" w:space="0" w:color="auto"/>
                  </w:tcBorders>
                  <w:shd w:val="clear" w:color="auto" w:fill="auto"/>
                  <w:vAlign w:val="bottom"/>
                  <w:hideMark/>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2387" w:type="dxa"/>
                  <w:tcBorders>
                    <w:top w:val="nil"/>
                    <w:left w:val="nil"/>
                    <w:bottom w:val="single" w:sz="4" w:space="0" w:color="auto"/>
                    <w:right w:val="single" w:sz="4" w:space="0" w:color="auto"/>
                  </w:tcBorders>
                  <w:shd w:val="clear" w:color="auto" w:fill="auto"/>
                  <w:noWrap/>
                  <w:vAlign w:val="bottom"/>
                  <w:hideMark/>
                </w:tcPr>
                <w:p>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0960207</w:t>
                  </w:r>
                </w:p>
              </w:tc>
            </w:tr>
            <w:tr>
              <w:trPr>
                <w:trHeight w:val="20"/>
              </w:trPr>
              <w:tc>
                <w:tcPr>
                  <w:tcW w:w="434" w:type="dxa"/>
                  <w:tcBorders>
                    <w:top w:val="nil"/>
                    <w:left w:val="single" w:sz="4" w:space="0" w:color="auto"/>
                    <w:bottom w:val="single" w:sz="4" w:space="0" w:color="auto"/>
                    <w:right w:val="single" w:sz="4" w:space="0" w:color="auto"/>
                  </w:tcBorders>
                  <w:shd w:val="clear" w:color="auto" w:fill="auto"/>
                  <w:vAlign w:val="bottom"/>
                  <w:hideMark/>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pPr>
                    <w:spacing w:line="320" w:lineRule="exact"/>
                    <w:jc w:val="both"/>
                    <w:rPr>
                      <w:rFonts w:ascii="標楷體" w:eastAsia="標楷體" w:hAnsi="標楷體"/>
                      <w:kern w:val="0"/>
                    </w:rPr>
                  </w:pPr>
                  <w:r>
                    <w:rPr>
                      <w:rFonts w:ascii="標楷體" w:eastAsia="標楷體" w:hAnsi="標楷體" w:hint="eastAsia"/>
                      <w:kern w:val="0"/>
                    </w:rPr>
                    <w:t>數位相機</w:t>
                  </w:r>
                </w:p>
              </w:tc>
              <w:tc>
                <w:tcPr>
                  <w:tcW w:w="2517"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Panasonic HDC-SD60G</w:t>
                  </w:r>
                </w:p>
              </w:tc>
              <w:tc>
                <w:tcPr>
                  <w:tcW w:w="425" w:type="dxa"/>
                  <w:tcBorders>
                    <w:top w:val="nil"/>
                    <w:left w:val="nil"/>
                    <w:bottom w:val="single" w:sz="4" w:space="0" w:color="auto"/>
                    <w:right w:val="single" w:sz="4" w:space="0" w:color="auto"/>
                  </w:tcBorders>
                  <w:shd w:val="clear" w:color="auto" w:fill="auto"/>
                  <w:vAlign w:val="center"/>
                  <w:hideMark/>
                </w:tcPr>
                <w:p>
                  <w:pPr>
                    <w:jc w:val="center"/>
                    <w:rPr>
                      <w:rFonts w:ascii="標楷體" w:eastAsia="標楷體" w:hAnsi="標楷體"/>
                    </w:rPr>
                  </w:pPr>
                  <w:r>
                    <w:rPr>
                      <w:rFonts w:ascii="標楷體" w:eastAsia="標楷體" w:hAnsi="標楷體" w:hint="eastAsia"/>
                    </w:rPr>
                    <w:t>台</w:t>
                  </w:r>
                </w:p>
              </w:tc>
              <w:tc>
                <w:tcPr>
                  <w:tcW w:w="425" w:type="dxa"/>
                  <w:tcBorders>
                    <w:top w:val="nil"/>
                    <w:left w:val="nil"/>
                    <w:bottom w:val="single" w:sz="4" w:space="0" w:color="auto"/>
                    <w:right w:val="single" w:sz="4" w:space="0" w:color="auto"/>
                  </w:tcBorders>
                  <w:shd w:val="clear" w:color="auto" w:fill="auto"/>
                  <w:vAlign w:val="bottom"/>
                  <w:hideMark/>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2387" w:type="dxa"/>
                  <w:tcBorders>
                    <w:top w:val="nil"/>
                    <w:left w:val="nil"/>
                    <w:bottom w:val="single" w:sz="4" w:space="0" w:color="auto"/>
                    <w:right w:val="single" w:sz="4" w:space="0" w:color="auto"/>
                  </w:tcBorders>
                  <w:shd w:val="clear" w:color="auto" w:fill="auto"/>
                  <w:noWrap/>
                  <w:vAlign w:val="bottom"/>
                  <w:hideMark/>
                </w:tcPr>
                <w:p>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1011009</w:t>
                  </w:r>
                </w:p>
              </w:tc>
            </w:tr>
            <w:tr>
              <w:trPr>
                <w:trHeight w:val="20"/>
              </w:trPr>
              <w:tc>
                <w:tcPr>
                  <w:tcW w:w="434" w:type="dxa"/>
                  <w:tcBorders>
                    <w:top w:val="nil"/>
                    <w:left w:val="single" w:sz="4" w:space="0" w:color="auto"/>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03</w:t>
                  </w:r>
                </w:p>
              </w:tc>
              <w:tc>
                <w:tcPr>
                  <w:tcW w:w="1444" w:type="dxa"/>
                  <w:tcBorders>
                    <w:top w:val="nil"/>
                    <w:left w:val="nil"/>
                    <w:bottom w:val="single" w:sz="4" w:space="0" w:color="auto"/>
                    <w:right w:val="single" w:sz="4" w:space="0" w:color="auto"/>
                  </w:tcBorders>
                  <w:shd w:val="clear" w:color="auto" w:fill="auto"/>
                  <w:vAlign w:val="center"/>
                </w:tcPr>
                <w:p>
                  <w:pPr>
                    <w:spacing w:line="320" w:lineRule="exact"/>
                    <w:jc w:val="both"/>
                    <w:rPr>
                      <w:rFonts w:ascii="標楷體" w:eastAsia="標楷體" w:hAnsi="標楷體"/>
                      <w:kern w:val="0"/>
                      <w:sz w:val="22"/>
                      <w:szCs w:val="22"/>
                    </w:rPr>
                  </w:pPr>
                  <w:r>
                    <w:rPr>
                      <w:rFonts w:ascii="標楷體" w:eastAsia="標楷體" w:hAnsi="標楷體" w:hint="eastAsia"/>
                      <w:kern w:val="0"/>
                      <w:sz w:val="22"/>
                      <w:szCs w:val="22"/>
                    </w:rPr>
                    <w:t>數位交換系統</w:t>
                  </w:r>
                </w:p>
              </w:tc>
              <w:tc>
                <w:tcPr>
                  <w:tcW w:w="2517"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4外8內線</w:t>
                  </w:r>
                </w:p>
              </w:tc>
              <w:tc>
                <w:tcPr>
                  <w:tcW w:w="425" w:type="dxa"/>
                  <w:tcBorders>
                    <w:top w:val="nil"/>
                    <w:left w:val="nil"/>
                    <w:bottom w:val="single" w:sz="4" w:space="0" w:color="auto"/>
                    <w:right w:val="single" w:sz="4" w:space="0" w:color="auto"/>
                  </w:tcBorders>
                  <w:shd w:val="clear" w:color="auto" w:fill="auto"/>
                  <w:vAlign w:val="center"/>
                </w:tcPr>
                <w:p>
                  <w:pPr>
                    <w:jc w:val="center"/>
                    <w:rPr>
                      <w:rFonts w:ascii="標楷體" w:eastAsia="標楷體" w:hAnsi="標楷體"/>
                    </w:rPr>
                  </w:pPr>
                  <w:r>
                    <w:rPr>
                      <w:rFonts w:ascii="標楷體" w:eastAsia="標楷體" w:hAnsi="標楷體" w:hint="eastAsia"/>
                    </w:rPr>
                    <w:t>台</w:t>
                  </w: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2387" w:type="dxa"/>
                  <w:tcBorders>
                    <w:top w:val="nil"/>
                    <w:left w:val="nil"/>
                    <w:bottom w:val="single" w:sz="4" w:space="0" w:color="auto"/>
                    <w:right w:val="single" w:sz="4" w:space="0" w:color="auto"/>
                  </w:tcBorders>
                  <w:shd w:val="clear" w:color="auto" w:fill="auto"/>
                  <w:noWrap/>
                  <w:vAlign w:val="bottom"/>
                </w:tcPr>
                <w:p>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0910703</w:t>
                  </w:r>
                </w:p>
              </w:tc>
            </w:tr>
            <w:tr>
              <w:trPr>
                <w:trHeight w:val="20"/>
              </w:trPr>
              <w:tc>
                <w:tcPr>
                  <w:tcW w:w="434" w:type="dxa"/>
                  <w:tcBorders>
                    <w:top w:val="nil"/>
                    <w:left w:val="single" w:sz="4" w:space="0" w:color="auto"/>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04</w:t>
                  </w:r>
                </w:p>
              </w:tc>
              <w:tc>
                <w:tcPr>
                  <w:tcW w:w="1444" w:type="dxa"/>
                  <w:tcBorders>
                    <w:top w:val="nil"/>
                    <w:left w:val="nil"/>
                    <w:bottom w:val="single" w:sz="4" w:space="0" w:color="auto"/>
                    <w:right w:val="single" w:sz="4" w:space="0" w:color="auto"/>
                  </w:tcBorders>
                  <w:shd w:val="clear" w:color="auto" w:fill="auto"/>
                  <w:vAlign w:val="center"/>
                </w:tcPr>
                <w:p>
                  <w:pPr>
                    <w:spacing w:line="320" w:lineRule="exact"/>
                    <w:jc w:val="both"/>
                    <w:rPr>
                      <w:rFonts w:ascii="標楷體" w:eastAsia="標楷體" w:hAnsi="標楷體"/>
                      <w:kern w:val="0"/>
                    </w:rPr>
                  </w:pPr>
                  <w:r>
                    <w:rPr>
                      <w:rFonts w:ascii="標楷體" w:eastAsia="標楷體" w:hAnsi="標楷體" w:hint="eastAsia"/>
                      <w:kern w:val="0"/>
                    </w:rPr>
                    <w:t>鋼琴</w:t>
                  </w:r>
                </w:p>
              </w:tc>
              <w:tc>
                <w:tcPr>
                  <w:tcW w:w="2517"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88鍵12合音</w:t>
                  </w:r>
                </w:p>
              </w:tc>
              <w:tc>
                <w:tcPr>
                  <w:tcW w:w="425" w:type="dxa"/>
                  <w:tcBorders>
                    <w:top w:val="nil"/>
                    <w:left w:val="nil"/>
                    <w:bottom w:val="single" w:sz="4" w:space="0" w:color="auto"/>
                    <w:right w:val="single" w:sz="4" w:space="0" w:color="auto"/>
                  </w:tcBorders>
                  <w:shd w:val="clear" w:color="auto" w:fill="auto"/>
                  <w:vAlign w:val="center"/>
                </w:tcPr>
                <w:p>
                  <w:pPr>
                    <w:jc w:val="center"/>
                    <w:rPr>
                      <w:rFonts w:ascii="標楷體" w:eastAsia="標楷體" w:hAnsi="標楷體"/>
                    </w:rPr>
                  </w:pPr>
                  <w:r>
                    <w:rPr>
                      <w:rFonts w:ascii="標楷體" w:eastAsia="標楷體" w:hAnsi="標楷體" w:hint="eastAsia"/>
                    </w:rPr>
                    <w:t>台</w:t>
                  </w: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2387" w:type="dxa"/>
                  <w:tcBorders>
                    <w:top w:val="nil"/>
                    <w:left w:val="nil"/>
                    <w:bottom w:val="single" w:sz="4" w:space="0" w:color="auto"/>
                    <w:right w:val="single" w:sz="4" w:space="0" w:color="auto"/>
                  </w:tcBorders>
                  <w:shd w:val="clear" w:color="auto" w:fill="auto"/>
                  <w:noWrap/>
                  <w:vAlign w:val="bottom"/>
                </w:tcPr>
                <w:p>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0910701</w:t>
                  </w:r>
                </w:p>
              </w:tc>
            </w:tr>
            <w:tr>
              <w:trPr>
                <w:trHeight w:val="20"/>
              </w:trPr>
              <w:tc>
                <w:tcPr>
                  <w:tcW w:w="434" w:type="dxa"/>
                  <w:tcBorders>
                    <w:top w:val="nil"/>
                    <w:left w:val="single" w:sz="4" w:space="0" w:color="auto"/>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05</w:t>
                  </w:r>
                </w:p>
              </w:tc>
              <w:tc>
                <w:tcPr>
                  <w:tcW w:w="1444" w:type="dxa"/>
                  <w:tcBorders>
                    <w:top w:val="nil"/>
                    <w:left w:val="nil"/>
                    <w:bottom w:val="single" w:sz="4" w:space="0" w:color="auto"/>
                    <w:right w:val="single" w:sz="4" w:space="0" w:color="auto"/>
                  </w:tcBorders>
                  <w:shd w:val="clear" w:color="auto" w:fill="auto"/>
                  <w:vAlign w:val="center"/>
                </w:tcPr>
                <w:p>
                  <w:pPr>
                    <w:spacing w:line="320" w:lineRule="exact"/>
                    <w:jc w:val="both"/>
                    <w:rPr>
                      <w:rFonts w:ascii="標楷體" w:eastAsia="標楷體" w:hAnsi="標楷體"/>
                      <w:kern w:val="0"/>
                    </w:rPr>
                  </w:pPr>
                  <w:r>
                    <w:rPr>
                      <w:rFonts w:ascii="標楷體" w:eastAsia="標楷體" w:hAnsi="標楷體" w:hint="eastAsia"/>
                      <w:kern w:val="0"/>
                    </w:rPr>
                    <w:t>康樂設施</w:t>
                  </w:r>
                </w:p>
              </w:tc>
              <w:tc>
                <w:tcPr>
                  <w:tcW w:w="2517"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遊戲屋</w:t>
                  </w:r>
                </w:p>
              </w:tc>
              <w:tc>
                <w:tcPr>
                  <w:tcW w:w="425" w:type="dxa"/>
                  <w:tcBorders>
                    <w:top w:val="nil"/>
                    <w:left w:val="nil"/>
                    <w:bottom w:val="single" w:sz="4" w:space="0" w:color="auto"/>
                    <w:right w:val="single" w:sz="4" w:space="0" w:color="auto"/>
                  </w:tcBorders>
                  <w:shd w:val="clear" w:color="auto" w:fill="auto"/>
                  <w:vAlign w:val="center"/>
                </w:tcPr>
                <w:p>
                  <w:pPr>
                    <w:jc w:val="center"/>
                    <w:rPr>
                      <w:rFonts w:ascii="標楷體" w:eastAsia="標楷體" w:hAnsi="標楷體"/>
                    </w:rPr>
                  </w:pPr>
                  <w:r>
                    <w:rPr>
                      <w:rFonts w:ascii="標楷體" w:eastAsia="標楷體" w:hAnsi="標楷體" w:hint="eastAsia"/>
                    </w:rPr>
                    <w:t>組</w:t>
                  </w: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2387" w:type="dxa"/>
                  <w:tcBorders>
                    <w:top w:val="nil"/>
                    <w:left w:val="nil"/>
                    <w:bottom w:val="single" w:sz="4" w:space="0" w:color="auto"/>
                    <w:right w:val="single" w:sz="4" w:space="0" w:color="auto"/>
                  </w:tcBorders>
                  <w:shd w:val="clear" w:color="auto" w:fill="auto"/>
                  <w:noWrap/>
                  <w:vAlign w:val="bottom"/>
                </w:tcPr>
                <w:p>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1011009</w:t>
                  </w:r>
                </w:p>
              </w:tc>
            </w:tr>
            <w:tr>
              <w:trPr>
                <w:trHeight w:val="20"/>
              </w:trPr>
              <w:tc>
                <w:tcPr>
                  <w:tcW w:w="434" w:type="dxa"/>
                  <w:tcBorders>
                    <w:top w:val="nil"/>
                    <w:left w:val="single" w:sz="4" w:space="0" w:color="auto"/>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1444" w:type="dxa"/>
                  <w:tcBorders>
                    <w:top w:val="nil"/>
                    <w:left w:val="nil"/>
                    <w:bottom w:val="single" w:sz="4" w:space="0" w:color="auto"/>
                    <w:right w:val="single" w:sz="4" w:space="0" w:color="auto"/>
                  </w:tcBorders>
                  <w:shd w:val="clear" w:color="auto" w:fill="auto"/>
                  <w:vAlign w:val="center"/>
                </w:tcPr>
                <w:p>
                  <w:pPr>
                    <w:spacing w:line="320" w:lineRule="exact"/>
                    <w:jc w:val="both"/>
                    <w:rPr>
                      <w:rFonts w:ascii="標楷體" w:eastAsia="標楷體" w:hAnsi="標楷體"/>
                      <w:kern w:val="0"/>
                    </w:rPr>
                  </w:pPr>
                </w:p>
              </w:tc>
              <w:tc>
                <w:tcPr>
                  <w:tcW w:w="2517"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425" w:type="dxa"/>
                  <w:tcBorders>
                    <w:top w:val="nil"/>
                    <w:left w:val="nil"/>
                    <w:bottom w:val="single" w:sz="4" w:space="0" w:color="auto"/>
                    <w:right w:val="single" w:sz="4" w:space="0" w:color="auto"/>
                  </w:tcBorders>
                  <w:shd w:val="clear" w:color="auto" w:fill="auto"/>
                  <w:vAlign w:val="center"/>
                </w:tcPr>
                <w:p>
                  <w:pPr>
                    <w:jc w:val="center"/>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2387" w:type="dxa"/>
                  <w:tcBorders>
                    <w:top w:val="nil"/>
                    <w:left w:val="nil"/>
                    <w:bottom w:val="single" w:sz="4" w:space="0" w:color="auto"/>
                    <w:right w:val="single" w:sz="4" w:space="0" w:color="auto"/>
                  </w:tcBorders>
                  <w:shd w:val="clear" w:color="auto" w:fill="auto"/>
                  <w:noWrap/>
                  <w:vAlign w:val="bottom"/>
                </w:tcPr>
                <w:p>
                  <w:pPr>
                    <w:widowControl/>
                    <w:rPr>
                      <w:rFonts w:ascii="標楷體" w:eastAsia="標楷體" w:hAnsi="標楷體" w:cs="新細明體"/>
                      <w:kern w:val="0"/>
                      <w:sz w:val="20"/>
                      <w:szCs w:val="20"/>
                    </w:rPr>
                  </w:pPr>
                </w:p>
              </w:tc>
            </w:tr>
            <w:tr>
              <w:trPr>
                <w:trHeight w:val="20"/>
              </w:trPr>
              <w:tc>
                <w:tcPr>
                  <w:tcW w:w="434" w:type="dxa"/>
                  <w:tcBorders>
                    <w:top w:val="nil"/>
                    <w:left w:val="single" w:sz="4" w:space="0" w:color="auto"/>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1444"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2517"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2387" w:type="dxa"/>
                  <w:tcBorders>
                    <w:top w:val="nil"/>
                    <w:left w:val="nil"/>
                    <w:bottom w:val="single" w:sz="4" w:space="0" w:color="auto"/>
                    <w:right w:val="single" w:sz="4" w:space="0" w:color="auto"/>
                  </w:tcBorders>
                  <w:shd w:val="clear" w:color="auto" w:fill="auto"/>
                  <w:noWrap/>
                  <w:vAlign w:val="bottom"/>
                </w:tcPr>
                <w:p>
                  <w:pPr>
                    <w:widowControl/>
                    <w:rPr>
                      <w:rFonts w:ascii="標楷體" w:eastAsia="標楷體" w:hAnsi="標楷體" w:cs="新細明體"/>
                      <w:kern w:val="0"/>
                      <w:sz w:val="20"/>
                      <w:szCs w:val="20"/>
                    </w:rPr>
                  </w:pPr>
                </w:p>
              </w:tc>
            </w:tr>
            <w:tr>
              <w:trPr>
                <w:trHeight w:val="20"/>
              </w:trPr>
              <w:tc>
                <w:tcPr>
                  <w:tcW w:w="434" w:type="dxa"/>
                  <w:tcBorders>
                    <w:top w:val="nil"/>
                    <w:left w:val="single" w:sz="4" w:space="0" w:color="auto"/>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1444"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2517"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2387" w:type="dxa"/>
                  <w:tcBorders>
                    <w:top w:val="nil"/>
                    <w:left w:val="nil"/>
                    <w:bottom w:val="single" w:sz="4" w:space="0" w:color="auto"/>
                    <w:right w:val="single" w:sz="4" w:space="0" w:color="auto"/>
                  </w:tcBorders>
                  <w:shd w:val="clear" w:color="auto" w:fill="auto"/>
                  <w:noWrap/>
                  <w:vAlign w:val="bottom"/>
                </w:tcPr>
                <w:p>
                  <w:pPr>
                    <w:widowControl/>
                    <w:rPr>
                      <w:rFonts w:ascii="標楷體" w:eastAsia="標楷體" w:hAnsi="標楷體" w:cs="新細明體"/>
                      <w:kern w:val="0"/>
                      <w:sz w:val="20"/>
                      <w:szCs w:val="20"/>
                    </w:rPr>
                  </w:pPr>
                </w:p>
              </w:tc>
            </w:tr>
            <w:tr>
              <w:trPr>
                <w:trHeight w:val="20"/>
              </w:trPr>
              <w:tc>
                <w:tcPr>
                  <w:tcW w:w="434" w:type="dxa"/>
                  <w:tcBorders>
                    <w:top w:val="nil"/>
                    <w:left w:val="single" w:sz="4" w:space="0" w:color="auto"/>
                    <w:bottom w:val="single" w:sz="4" w:space="0" w:color="auto"/>
                    <w:right w:val="single" w:sz="4" w:space="0" w:color="auto"/>
                  </w:tcBorders>
                  <w:shd w:val="clear" w:color="auto" w:fill="auto"/>
                  <w:vAlign w:val="bottom"/>
                </w:tcPr>
                <w:p>
                  <w:pPr>
                    <w:widowControl/>
                    <w:jc w:val="center"/>
                    <w:rPr>
                      <w:rFonts w:ascii="新細明體" w:hAnsi="新細明體" w:cs="新細明體"/>
                      <w:kern w:val="0"/>
                      <w:sz w:val="20"/>
                      <w:szCs w:val="20"/>
                    </w:rPr>
                  </w:pPr>
                </w:p>
              </w:tc>
              <w:tc>
                <w:tcPr>
                  <w:tcW w:w="1444"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2517"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425" w:type="dxa"/>
                  <w:tcBorders>
                    <w:top w:val="nil"/>
                    <w:left w:val="nil"/>
                    <w:bottom w:val="single" w:sz="4" w:space="0" w:color="auto"/>
                    <w:right w:val="single" w:sz="4" w:space="0" w:color="auto"/>
                  </w:tcBorders>
                  <w:shd w:val="clear" w:color="auto" w:fill="auto"/>
                  <w:vAlign w:val="bottom"/>
                </w:tcPr>
                <w:p>
                  <w:pPr>
                    <w:widowControl/>
                    <w:jc w:val="center"/>
                    <w:rPr>
                      <w:rFonts w:ascii="標楷體" w:eastAsia="標楷體" w:hAnsi="標楷體" w:cs="新細明體"/>
                      <w:kern w:val="0"/>
                      <w:sz w:val="20"/>
                      <w:szCs w:val="20"/>
                    </w:rPr>
                  </w:pPr>
                </w:p>
              </w:tc>
              <w:tc>
                <w:tcPr>
                  <w:tcW w:w="2387" w:type="dxa"/>
                  <w:tcBorders>
                    <w:top w:val="nil"/>
                    <w:left w:val="nil"/>
                    <w:bottom w:val="single" w:sz="4" w:space="0" w:color="auto"/>
                    <w:right w:val="single" w:sz="4" w:space="0" w:color="auto"/>
                  </w:tcBorders>
                  <w:shd w:val="clear" w:color="auto" w:fill="auto"/>
                  <w:noWrap/>
                  <w:vAlign w:val="bottom"/>
                </w:tcPr>
                <w:p>
                  <w:pPr>
                    <w:widowControl/>
                    <w:rPr>
                      <w:rFonts w:ascii="標楷體" w:eastAsia="標楷體" w:hAnsi="標楷體" w:cs="新細明體"/>
                      <w:kern w:val="0"/>
                      <w:sz w:val="20"/>
                      <w:szCs w:val="20"/>
                    </w:rPr>
                  </w:pPr>
                </w:p>
              </w:tc>
            </w:tr>
          </w:tbl>
          <w:p>
            <w:pPr>
              <w:spacing w:line="320" w:lineRule="exact"/>
              <w:jc w:val="both"/>
              <w:rPr>
                <w:rFonts w:ascii="標楷體" w:eastAsia="標楷體" w:hAnsi="標楷體"/>
                <w:sz w:val="28"/>
                <w:szCs w:val="28"/>
              </w:rPr>
            </w:pPr>
          </w:p>
        </w:tc>
      </w:tr>
      <w:tr>
        <w:trPr>
          <w:trHeight w:val="279"/>
        </w:trPr>
        <w:tc>
          <w:tcPr>
            <w:tcW w:w="1668" w:type="dxa"/>
            <w:vAlign w:val="center"/>
          </w:tcPr>
          <w:p>
            <w:pPr>
              <w:jc w:val="both"/>
              <w:rPr>
                <w:rFonts w:ascii="標楷體" w:eastAsia="標楷體" w:hAnsi="標楷體"/>
                <w:sz w:val="28"/>
                <w:szCs w:val="28"/>
              </w:rPr>
            </w:pPr>
            <w:r>
              <w:rPr>
                <w:rFonts w:ascii="標楷體" w:eastAsia="標楷體" w:hAnsi="標楷體" w:hint="eastAsia"/>
                <w:sz w:val="28"/>
                <w:szCs w:val="28"/>
              </w:rPr>
              <w:t>標售底價(元)</w:t>
            </w:r>
          </w:p>
        </w:tc>
        <w:tc>
          <w:tcPr>
            <w:tcW w:w="6860" w:type="dxa"/>
            <w:vAlign w:val="center"/>
          </w:tcPr>
          <w:p>
            <w:pPr>
              <w:jc w:val="both"/>
              <w:rPr>
                <w:rFonts w:ascii="標楷體" w:eastAsia="標楷體" w:hAnsi="標楷體"/>
                <w:sz w:val="28"/>
                <w:szCs w:val="28"/>
              </w:rPr>
            </w:pPr>
            <w:r>
              <w:rPr>
                <w:rFonts w:ascii="標楷體" w:eastAsia="標楷體" w:hAnsi="標楷體" w:hint="eastAsia"/>
                <w:sz w:val="28"/>
                <w:szCs w:val="28"/>
              </w:rPr>
              <w:t>新台幣  伍仟元  整</w:t>
            </w:r>
          </w:p>
        </w:tc>
      </w:tr>
      <w:tr>
        <w:trPr>
          <w:trHeight w:val="409"/>
        </w:trPr>
        <w:tc>
          <w:tcPr>
            <w:tcW w:w="1668" w:type="dxa"/>
            <w:vAlign w:val="center"/>
          </w:tcPr>
          <w:p>
            <w:pPr>
              <w:jc w:val="both"/>
              <w:rPr>
                <w:rFonts w:ascii="標楷體" w:eastAsia="標楷體" w:hAnsi="標楷體"/>
                <w:sz w:val="28"/>
                <w:szCs w:val="28"/>
              </w:rPr>
            </w:pPr>
            <w:r>
              <w:rPr>
                <w:rFonts w:ascii="標楷體" w:eastAsia="標楷體" w:hAnsi="標楷體" w:hint="eastAsia"/>
                <w:sz w:val="28"/>
                <w:szCs w:val="28"/>
              </w:rPr>
              <w:t>保證金金額(元)</w:t>
            </w:r>
          </w:p>
        </w:tc>
        <w:tc>
          <w:tcPr>
            <w:tcW w:w="6860" w:type="dxa"/>
            <w:vAlign w:val="center"/>
          </w:tcPr>
          <w:p>
            <w:pPr>
              <w:jc w:val="both"/>
              <w:rPr>
                <w:rFonts w:ascii="標楷體" w:eastAsia="標楷體" w:hAnsi="標楷體"/>
                <w:sz w:val="28"/>
                <w:szCs w:val="28"/>
              </w:rPr>
            </w:pPr>
            <w:r>
              <w:rPr>
                <w:rFonts w:ascii="標楷體" w:eastAsia="標楷體" w:hAnsi="標楷體" w:hint="eastAsia"/>
                <w:sz w:val="28"/>
                <w:szCs w:val="28"/>
              </w:rPr>
              <w:t>新台幣   伍佰 元整</w:t>
            </w:r>
          </w:p>
        </w:tc>
      </w:tr>
      <w:tr>
        <w:trPr>
          <w:trHeight w:val="444"/>
        </w:trPr>
        <w:tc>
          <w:tcPr>
            <w:tcW w:w="1668" w:type="dxa"/>
            <w:vAlign w:val="center"/>
          </w:tcPr>
          <w:p>
            <w:pPr>
              <w:jc w:val="both"/>
              <w:rPr>
                <w:rFonts w:ascii="標楷體" w:eastAsia="標楷體" w:hAnsi="標楷體"/>
                <w:sz w:val="28"/>
                <w:szCs w:val="28"/>
              </w:rPr>
            </w:pPr>
            <w:r>
              <w:rPr>
                <w:rFonts w:ascii="標楷體" w:eastAsia="標楷體" w:hAnsi="標楷體" w:hint="eastAsia"/>
                <w:sz w:val="28"/>
                <w:szCs w:val="28"/>
              </w:rPr>
              <w:t>備　　　　註</w:t>
            </w:r>
          </w:p>
        </w:tc>
        <w:tc>
          <w:tcPr>
            <w:tcW w:w="6860" w:type="dxa"/>
            <w:vAlign w:val="center"/>
          </w:tcPr>
          <w:p>
            <w:pPr>
              <w:jc w:val="both"/>
              <w:rPr>
                <w:rFonts w:ascii="標楷體" w:eastAsia="標楷體" w:hAnsi="標楷體"/>
                <w:sz w:val="28"/>
                <w:szCs w:val="28"/>
              </w:rPr>
            </w:pPr>
          </w:p>
        </w:tc>
      </w:tr>
    </w:tbl>
    <w:p>
      <w:pPr>
        <w:spacing w:line="480" w:lineRule="exact"/>
        <w:ind w:left="480" w:hangingChars="200" w:hanging="480"/>
      </w:pPr>
    </w:p>
    <w:sectPr>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annotation reference"/>
    <w:basedOn w:val="a0"/>
    <w:semiHidden/>
    <w:rPr>
      <w:sz w:val="18"/>
      <w:szCs w:val="18"/>
    </w:rPr>
  </w:style>
  <w:style w:type="paragraph" w:styleId="a5">
    <w:name w:val="annotation text"/>
    <w:basedOn w:val="a"/>
    <w:semiHidden/>
  </w:style>
  <w:style w:type="paragraph" w:styleId="a6">
    <w:name w:val="annotation subject"/>
    <w:basedOn w:val="a5"/>
    <w:next w:val="a5"/>
    <w:semiHidden/>
    <w:rPr>
      <w:b/>
      <w:bCs/>
    </w:rPr>
  </w:style>
  <w:style w:type="paragraph" w:styleId="a7">
    <w:name w:val="Balloon Text"/>
    <w:basedOn w:val="a"/>
    <w:semiHidden/>
    <w:rPr>
      <w:rFonts w:ascii="Arial" w:hAnsi="Arial"/>
      <w:sz w:val="18"/>
      <w:szCs w:val="18"/>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pPr>
      <w:tabs>
        <w:tab w:val="center" w:pos="4153"/>
        <w:tab w:val="right" w:pos="8306"/>
      </w:tabs>
      <w:snapToGrid w:val="0"/>
    </w:pPr>
    <w:rPr>
      <w:sz w:val="20"/>
      <w:szCs w:val="20"/>
    </w:rPr>
  </w:style>
  <w:style w:type="character" w:customStyle="1" w:styleId="aa">
    <w:name w:val="頁首 字元"/>
    <w:basedOn w:val="a0"/>
    <w:link w:val="a9"/>
    <w:uiPriority w:val="99"/>
    <w:rPr>
      <w:kern w:val="2"/>
    </w:rPr>
  </w:style>
  <w:style w:type="paragraph" w:styleId="ab">
    <w:name w:val="footer"/>
    <w:basedOn w:val="a"/>
    <w:link w:val="ac"/>
    <w:uiPriority w:val="99"/>
    <w:unhideWhenUsed/>
    <w:pPr>
      <w:tabs>
        <w:tab w:val="center" w:pos="4153"/>
        <w:tab w:val="right" w:pos="8306"/>
      </w:tabs>
      <w:snapToGrid w:val="0"/>
    </w:pPr>
    <w:rPr>
      <w:sz w:val="20"/>
      <w:szCs w:val="20"/>
    </w:rPr>
  </w:style>
  <w:style w:type="character" w:customStyle="1" w:styleId="ac">
    <w:name w:val="頁尾 字元"/>
    <w:basedOn w:val="a0"/>
    <w:link w:val="ab"/>
    <w:uiPriority w:val="9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annotation reference"/>
    <w:basedOn w:val="a0"/>
    <w:semiHidden/>
    <w:rPr>
      <w:sz w:val="18"/>
      <w:szCs w:val="18"/>
    </w:rPr>
  </w:style>
  <w:style w:type="paragraph" w:styleId="a5">
    <w:name w:val="annotation text"/>
    <w:basedOn w:val="a"/>
    <w:semiHidden/>
  </w:style>
  <w:style w:type="paragraph" w:styleId="a6">
    <w:name w:val="annotation subject"/>
    <w:basedOn w:val="a5"/>
    <w:next w:val="a5"/>
    <w:semiHidden/>
    <w:rPr>
      <w:b/>
      <w:bCs/>
    </w:rPr>
  </w:style>
  <w:style w:type="paragraph" w:styleId="a7">
    <w:name w:val="Balloon Text"/>
    <w:basedOn w:val="a"/>
    <w:semiHidden/>
    <w:rPr>
      <w:rFonts w:ascii="Arial" w:hAnsi="Arial"/>
      <w:sz w:val="18"/>
      <w:szCs w:val="18"/>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pPr>
      <w:tabs>
        <w:tab w:val="center" w:pos="4153"/>
        <w:tab w:val="right" w:pos="8306"/>
      </w:tabs>
      <w:snapToGrid w:val="0"/>
    </w:pPr>
    <w:rPr>
      <w:sz w:val="20"/>
      <w:szCs w:val="20"/>
    </w:rPr>
  </w:style>
  <w:style w:type="character" w:customStyle="1" w:styleId="aa">
    <w:name w:val="頁首 字元"/>
    <w:basedOn w:val="a0"/>
    <w:link w:val="a9"/>
    <w:uiPriority w:val="99"/>
    <w:rPr>
      <w:kern w:val="2"/>
    </w:rPr>
  </w:style>
  <w:style w:type="paragraph" w:styleId="ab">
    <w:name w:val="footer"/>
    <w:basedOn w:val="a"/>
    <w:link w:val="ac"/>
    <w:uiPriority w:val="99"/>
    <w:unhideWhenUsed/>
    <w:pPr>
      <w:tabs>
        <w:tab w:val="center" w:pos="4153"/>
        <w:tab w:val="right" w:pos="8306"/>
      </w:tabs>
      <w:snapToGrid w:val="0"/>
    </w:pPr>
    <w:rPr>
      <w:sz w:val="20"/>
      <w:szCs w:val="20"/>
    </w:rPr>
  </w:style>
  <w:style w:type="character" w:customStyle="1" w:styleId="ac">
    <w:name w:val="頁尾 字元"/>
    <w:basedOn w:val="a0"/>
    <w:link w:val="ab"/>
    <w:uiPriority w:val="9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85AE-5699-4EE7-8314-68456159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1374</Characters>
  <Application>Microsoft Office Word</Application>
  <DocSecurity>0</DocSecurity>
  <Lines>11</Lines>
  <Paragraphs>3</Paragraphs>
  <ScaleCrop>false</ScaleCrop>
  <Company>發祥國小</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南投縣仁愛鄉發祥國民小學奉准報廢財產標售</dc:title>
  <dc:creator>總務處</dc:creator>
  <cp:lastModifiedBy>User</cp:lastModifiedBy>
  <cp:revision>3</cp:revision>
  <cp:lastPrinted>2017-05-23T02:28:00Z</cp:lastPrinted>
  <dcterms:created xsi:type="dcterms:W3CDTF">2017-12-25T02:59:00Z</dcterms:created>
  <dcterms:modified xsi:type="dcterms:W3CDTF">2018-01-02T05:47:00Z</dcterms:modified>
</cp:coreProperties>
</file>